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67DE1DA1" w14:textId="5E331456" w:rsidR="009A2A27" w:rsidRPr="009138A2" w:rsidRDefault="009A2A27"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9138A2">
        <w:rPr>
          <w:rFonts w:ascii="Arial" w:eastAsia="Arial" w:hAnsi="Arial" w:cs="Arial"/>
          <w:b/>
          <w:color w:val="00000A"/>
          <w:sz w:val="15"/>
          <w:szCs w:val="15"/>
        </w:rPr>
        <w:t>Piano nazionale degli investimenti complementari al Piano Nazionale di Ripresa e Resilienza (PNRR). </w:t>
      </w:r>
    </w:p>
    <w:p w14:paraId="4F239562" w14:textId="77777777" w:rsidR="009A2A27" w:rsidRPr="009138A2" w:rsidRDefault="009A2A27"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9138A2">
        <w:rPr>
          <w:rFonts w:ascii="Arial" w:eastAsia="Arial" w:hAnsi="Arial" w:cs="Arial"/>
          <w:b/>
          <w:color w:val="00000A"/>
          <w:sz w:val="15"/>
          <w:szCs w:val="15"/>
        </w:rPr>
        <w:t xml:space="preserve">Decreto Ministeriale 23 settembre 2021, n. 363: modalità di utilizzo delle risorse, per gli esercizi finanziari dal 2020 al 2026, pari complessivamente a € 1.550.000.000, previste dal Fondo complementare al Piano nazionale di ripresa e resilienza di cui all’articolo 1, comma 2, del decreto-legge 6 maggio 2021, n. 59, convertito, con modificazioni, dalla legge </w:t>
      </w:r>
      <w:proofErr w:type="gramStart"/>
      <w:r w:rsidRPr="009138A2">
        <w:rPr>
          <w:rFonts w:ascii="Arial" w:eastAsia="Arial" w:hAnsi="Arial" w:cs="Arial"/>
          <w:b/>
          <w:color w:val="00000A"/>
          <w:sz w:val="15"/>
          <w:szCs w:val="15"/>
        </w:rPr>
        <w:t>1 luglio</w:t>
      </w:r>
      <w:proofErr w:type="gramEnd"/>
      <w:r w:rsidRPr="009138A2">
        <w:rPr>
          <w:rFonts w:ascii="Arial" w:eastAsia="Arial" w:hAnsi="Arial" w:cs="Arial"/>
          <w:b/>
          <w:color w:val="00000A"/>
          <w:sz w:val="15"/>
          <w:szCs w:val="15"/>
        </w:rPr>
        <w:t xml:space="preserve"> 2021, n. 101.</w:t>
      </w:r>
    </w:p>
    <w:p w14:paraId="2326C006" w14:textId="2305326F" w:rsidR="009A2A27" w:rsidRDefault="009A2A27"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9138A2">
        <w:rPr>
          <w:rFonts w:ascii="Arial" w:eastAsia="Arial" w:hAnsi="Arial" w:cs="Arial"/>
          <w:b/>
          <w:color w:val="00000A"/>
          <w:sz w:val="15"/>
          <w:szCs w:val="15"/>
        </w:rPr>
        <w:t xml:space="preserve">Procedura aperta, ai sensi dell’articolo 123, comma 1, articolo 60 e articolo 157, comma 2 del </w:t>
      </w:r>
      <w:proofErr w:type="spellStart"/>
      <w:r w:rsidRPr="009138A2">
        <w:rPr>
          <w:rFonts w:ascii="Arial" w:eastAsia="Arial" w:hAnsi="Arial" w:cs="Arial"/>
          <w:b/>
          <w:color w:val="00000A"/>
          <w:sz w:val="15"/>
          <w:szCs w:val="15"/>
        </w:rPr>
        <w:t>D.Lgs.</w:t>
      </w:r>
      <w:proofErr w:type="spellEnd"/>
      <w:r w:rsidRPr="009138A2">
        <w:rPr>
          <w:rFonts w:ascii="Arial" w:eastAsia="Arial" w:hAnsi="Arial" w:cs="Arial"/>
          <w:b/>
          <w:color w:val="00000A"/>
          <w:sz w:val="15"/>
          <w:szCs w:val="15"/>
        </w:rPr>
        <w:t xml:space="preserve"> n. 50/2016 e </w:t>
      </w:r>
      <w:proofErr w:type="spellStart"/>
      <w:r w:rsidRPr="009138A2">
        <w:rPr>
          <w:rFonts w:ascii="Arial" w:eastAsia="Arial" w:hAnsi="Arial" w:cs="Arial"/>
          <w:b/>
          <w:color w:val="00000A"/>
          <w:sz w:val="15"/>
          <w:szCs w:val="15"/>
        </w:rPr>
        <w:t>s.m.i.</w:t>
      </w:r>
      <w:proofErr w:type="spellEnd"/>
      <w:r w:rsidRPr="009138A2">
        <w:rPr>
          <w:rFonts w:ascii="Arial" w:eastAsia="Arial" w:hAnsi="Arial" w:cs="Arial"/>
          <w:b/>
          <w:color w:val="00000A"/>
          <w:sz w:val="15"/>
          <w:szCs w:val="15"/>
        </w:rPr>
        <w:t>, per l’affidamento dei servizi di progettazione di fattibilità tecnica ed economica e della documentazione per la procedura di Valutazione di Impatto Ambientale (opzionale a seguito di verifica di assoggettabilità) relativi alla realizzazione del “Collegamento ferroviario Alghero centro - Alghero aeroporto, con impianto di produzione di idrogeno”.</w:t>
      </w:r>
    </w:p>
    <w:p w14:paraId="196C8EB7" w14:textId="5D3520D6" w:rsidR="008D7F53" w:rsidRDefault="008D7F53"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r w:rsidRPr="008D7F53">
        <w:rPr>
          <w:rFonts w:ascii="Arial" w:eastAsia="Arial" w:hAnsi="Arial" w:cs="Arial"/>
          <w:b/>
          <w:color w:val="00000A"/>
          <w:sz w:val="15"/>
          <w:szCs w:val="15"/>
        </w:rPr>
        <w:t xml:space="preserve">Gara n. 122/2022 - CUP F11B21007070001 - CIG 9527950911 - </w:t>
      </w:r>
      <w:proofErr w:type="spellStart"/>
      <w:r w:rsidRPr="008D7F53">
        <w:rPr>
          <w:rFonts w:ascii="Arial" w:eastAsia="Arial" w:hAnsi="Arial" w:cs="Arial"/>
          <w:b/>
          <w:color w:val="00000A"/>
          <w:sz w:val="15"/>
          <w:szCs w:val="15"/>
        </w:rPr>
        <w:t>SardegnaCAT</w:t>
      </w:r>
      <w:proofErr w:type="spellEnd"/>
      <w:r w:rsidRPr="008D7F53">
        <w:rPr>
          <w:rFonts w:ascii="Arial" w:eastAsia="Arial" w:hAnsi="Arial" w:cs="Arial"/>
          <w:b/>
          <w:color w:val="00000A"/>
          <w:sz w:val="15"/>
          <w:szCs w:val="15"/>
        </w:rPr>
        <w:t xml:space="preserve"> rfq_403544</w:t>
      </w:r>
    </w:p>
    <w:p w14:paraId="5A398D14" w14:textId="77777777" w:rsidR="008D7F53" w:rsidRDefault="008D7F53" w:rsidP="009138A2">
      <w:pPr>
        <w:pBdr>
          <w:top w:val="single" w:sz="4" w:space="1" w:color="00000A"/>
          <w:left w:val="single" w:sz="4" w:space="4" w:color="00000A"/>
          <w:bottom w:val="single" w:sz="4" w:space="0"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5BA6FCE8" w14:textId="77777777" w:rsidR="009138A2" w:rsidRDefault="009138A2" w:rsidP="009138A2">
      <w:pPr>
        <w:keepNext/>
        <w:pBdr>
          <w:top w:val="nil"/>
          <w:left w:val="nil"/>
          <w:bottom w:val="nil"/>
          <w:right w:val="nil"/>
          <w:between w:val="nil"/>
        </w:pBdr>
        <w:tabs>
          <w:tab w:val="center" w:pos="4537"/>
          <w:tab w:val="left" w:pos="7050"/>
        </w:tabs>
        <w:spacing w:before="120" w:after="360"/>
        <w:rPr>
          <w:rFonts w:ascii="Arial" w:eastAsia="Arial" w:hAnsi="Arial" w:cs="Arial"/>
          <w:smallCaps/>
          <w:color w:val="00000A"/>
          <w:sz w:val="16"/>
          <w:szCs w:val="16"/>
        </w:rPr>
      </w:pPr>
      <w:r>
        <w:rPr>
          <w:rFonts w:ascii="Arial" w:eastAsia="Arial" w:hAnsi="Arial" w:cs="Arial"/>
          <w:smallCaps/>
          <w:color w:val="00000A"/>
          <w:sz w:val="16"/>
          <w:szCs w:val="16"/>
        </w:rPr>
        <w:tab/>
      </w:r>
      <w:r w:rsidR="00040F51">
        <w:rPr>
          <w:rFonts w:ascii="Arial" w:eastAsia="Arial" w:hAnsi="Arial" w:cs="Arial"/>
          <w:smallCaps/>
          <w:color w:val="00000A"/>
          <w:sz w:val="16"/>
          <w:szCs w:val="16"/>
        </w:rPr>
        <w:t>INFORMAZIONI SULLA PROCEDURA DI APPALTO</w:t>
      </w:r>
      <w:r>
        <w:rPr>
          <w:rFonts w:ascii="Arial" w:eastAsia="Arial" w:hAnsi="Arial" w:cs="Arial"/>
          <w:smallCaps/>
          <w:color w:val="00000A"/>
          <w:sz w:val="16"/>
          <w:szCs w:val="16"/>
        </w:rPr>
        <w:tab/>
      </w:r>
    </w:p>
    <w:p w14:paraId="4F203579" w14:textId="34632C4B" w:rsidR="00CC1AEB" w:rsidRDefault="00040F51" w:rsidP="009138A2">
      <w:pPr>
        <w:keepNext/>
        <w:pBdr>
          <w:top w:val="nil"/>
          <w:left w:val="nil"/>
          <w:bottom w:val="nil"/>
          <w:right w:val="nil"/>
          <w:between w:val="nil"/>
        </w:pBdr>
        <w:tabs>
          <w:tab w:val="center" w:pos="4537"/>
          <w:tab w:val="left" w:pos="7050"/>
        </w:tabs>
        <w:spacing w:before="120" w:after="36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16D76A8" w14:textId="77777777" w:rsidR="009138A2" w:rsidRPr="009138A2" w:rsidRDefault="009138A2" w:rsidP="009138A2">
            <w:pPr>
              <w:pStyle w:val="NormaleWeb"/>
              <w:spacing w:before="0" w:beforeAutospacing="0" w:after="0" w:afterAutospacing="0" w:line="180" w:lineRule="exact"/>
              <w:ind w:right="74"/>
              <w:jc w:val="both"/>
              <w:rPr>
                <w:rFonts w:ascii="Arial" w:eastAsia="Arial" w:hAnsi="Arial" w:cs="Arial"/>
                <w:color w:val="00000A"/>
                <w:sz w:val="15"/>
                <w:szCs w:val="15"/>
              </w:rPr>
            </w:pPr>
            <w:r w:rsidRPr="009138A2">
              <w:rPr>
                <w:rFonts w:ascii="Arial" w:eastAsia="Arial" w:hAnsi="Arial" w:cs="Arial"/>
                <w:color w:val="00000A"/>
                <w:sz w:val="15"/>
                <w:szCs w:val="15"/>
              </w:rPr>
              <w:t>Piano nazionale degli investimenti complementari al Piano Nazionale di Ripresa e Resilienza (PNRR). </w:t>
            </w:r>
          </w:p>
          <w:p w14:paraId="0F6E06BE" w14:textId="77777777" w:rsidR="009138A2" w:rsidRPr="009138A2" w:rsidRDefault="009138A2" w:rsidP="009138A2">
            <w:pPr>
              <w:pStyle w:val="NormaleWeb"/>
              <w:spacing w:before="0" w:beforeAutospacing="0" w:after="0" w:afterAutospacing="0" w:line="180" w:lineRule="exact"/>
              <w:ind w:right="74"/>
              <w:jc w:val="both"/>
              <w:rPr>
                <w:rFonts w:ascii="Arial" w:eastAsia="Arial" w:hAnsi="Arial" w:cs="Arial"/>
                <w:color w:val="00000A"/>
                <w:sz w:val="15"/>
                <w:szCs w:val="15"/>
              </w:rPr>
            </w:pPr>
            <w:r w:rsidRPr="009138A2">
              <w:rPr>
                <w:rFonts w:ascii="Arial" w:eastAsia="Arial" w:hAnsi="Arial" w:cs="Arial"/>
                <w:color w:val="00000A"/>
                <w:sz w:val="15"/>
                <w:szCs w:val="15"/>
              </w:rPr>
              <w:t xml:space="preserve">Decreto Ministeriale 23 settembre 2021, n. 363: modalità di utilizzo delle risorse, per gli esercizi finanziari dal 2020 al 2026, pari complessivamente a € 1.550.000.000, previste dal Fondo complementare al Piano nazionale di ripresa e resilienza di cui all’articolo 1, comma 2, del decreto-legge 6 maggio 2021, n. 59, convertito, con modificazioni, dalla legge </w:t>
            </w:r>
            <w:proofErr w:type="gramStart"/>
            <w:r w:rsidRPr="009138A2">
              <w:rPr>
                <w:rFonts w:ascii="Arial" w:eastAsia="Arial" w:hAnsi="Arial" w:cs="Arial"/>
                <w:color w:val="00000A"/>
                <w:sz w:val="15"/>
                <w:szCs w:val="15"/>
              </w:rPr>
              <w:t>1 luglio</w:t>
            </w:r>
            <w:proofErr w:type="gramEnd"/>
            <w:r w:rsidRPr="009138A2">
              <w:rPr>
                <w:rFonts w:ascii="Arial" w:eastAsia="Arial" w:hAnsi="Arial" w:cs="Arial"/>
                <w:color w:val="00000A"/>
                <w:sz w:val="15"/>
                <w:szCs w:val="15"/>
              </w:rPr>
              <w:t xml:space="preserve"> 2021, n. 101.</w:t>
            </w:r>
          </w:p>
          <w:p w14:paraId="3BCFC153" w14:textId="19FCCB9D" w:rsidR="00C44F95" w:rsidRDefault="009138A2" w:rsidP="009138A2">
            <w:pPr>
              <w:pStyle w:val="NormaleWeb"/>
              <w:spacing w:before="0" w:beforeAutospacing="0" w:after="0" w:afterAutospacing="0" w:line="180" w:lineRule="exact"/>
              <w:jc w:val="both"/>
              <w:rPr>
                <w:rFonts w:ascii="Arial" w:eastAsia="Arial" w:hAnsi="Arial" w:cs="Arial"/>
                <w:color w:val="00000A"/>
                <w:sz w:val="15"/>
                <w:szCs w:val="15"/>
              </w:rPr>
            </w:pPr>
            <w:r w:rsidRPr="009138A2">
              <w:rPr>
                <w:rFonts w:ascii="Arial" w:eastAsia="Arial" w:hAnsi="Arial" w:cs="Arial"/>
                <w:color w:val="00000A"/>
                <w:sz w:val="15"/>
                <w:szCs w:val="15"/>
              </w:rPr>
              <w:t xml:space="preserve">Procedura aperta, ai sensi dell’articolo 123, comma 1, articolo 60 e articolo 157, comma 2 del </w:t>
            </w:r>
            <w:proofErr w:type="spellStart"/>
            <w:r w:rsidRPr="009138A2">
              <w:rPr>
                <w:rFonts w:ascii="Arial" w:eastAsia="Arial" w:hAnsi="Arial" w:cs="Arial"/>
                <w:color w:val="00000A"/>
                <w:sz w:val="15"/>
                <w:szCs w:val="15"/>
              </w:rPr>
              <w:t>D.Lgs.</w:t>
            </w:r>
            <w:proofErr w:type="spellEnd"/>
            <w:r w:rsidRPr="009138A2">
              <w:rPr>
                <w:rFonts w:ascii="Arial" w:eastAsia="Arial" w:hAnsi="Arial" w:cs="Arial"/>
                <w:color w:val="00000A"/>
                <w:sz w:val="15"/>
                <w:szCs w:val="15"/>
              </w:rPr>
              <w:t xml:space="preserve"> n. 50/2016 e </w:t>
            </w:r>
            <w:proofErr w:type="spellStart"/>
            <w:r w:rsidRPr="009138A2">
              <w:rPr>
                <w:rFonts w:ascii="Arial" w:eastAsia="Arial" w:hAnsi="Arial" w:cs="Arial"/>
                <w:color w:val="00000A"/>
                <w:sz w:val="15"/>
                <w:szCs w:val="15"/>
              </w:rPr>
              <w:t>s.m.i.</w:t>
            </w:r>
            <w:proofErr w:type="spellEnd"/>
            <w:r w:rsidRPr="009138A2">
              <w:rPr>
                <w:rFonts w:ascii="Arial" w:eastAsia="Arial" w:hAnsi="Arial" w:cs="Arial"/>
                <w:color w:val="00000A"/>
                <w:sz w:val="15"/>
                <w:szCs w:val="15"/>
              </w:rPr>
              <w:t>, per l’affidamento dei servizi di progettazione di fattibilità tecnica ed economica e della documentazione per la procedura di Valutazione di Impatto Ambientale (opzionale a seguito di verifica di assoggettabilità) relativi alla realizzazione del “Collegamento ferroviario Alghero centro - Alghero aeroporto, con impianto di produzione di idrogeno”.</w:t>
            </w: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rsidP="009138A2">
            <w:pPr>
              <w:pBdr>
                <w:top w:val="nil"/>
                <w:left w:val="nil"/>
                <w:bottom w:val="nil"/>
                <w:right w:val="nil"/>
                <w:between w:val="nil"/>
              </w:pBdr>
              <w:spacing w:line="240" w:lineRule="exact"/>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8F98DA4" w14:textId="723D5FDE" w:rsidR="008D7F53" w:rsidRPr="008D7F53" w:rsidRDefault="008D7F53" w:rsidP="009138A2">
            <w:pPr>
              <w:pStyle w:val="NormaleWeb"/>
              <w:spacing w:before="0" w:beforeAutospacing="0" w:after="0" w:afterAutospacing="0" w:line="240" w:lineRule="exact"/>
              <w:jc w:val="both"/>
              <w:rPr>
                <w:rFonts w:ascii="Arial" w:eastAsia="Arial" w:hAnsi="Arial" w:cs="Arial"/>
                <w:color w:val="00000A"/>
                <w:sz w:val="15"/>
                <w:szCs w:val="15"/>
              </w:rPr>
            </w:pPr>
            <w:r w:rsidRPr="008D7F53">
              <w:rPr>
                <w:rFonts w:ascii="Arial" w:eastAsia="Arial" w:hAnsi="Arial" w:cs="Arial"/>
                <w:color w:val="00000A"/>
                <w:sz w:val="15"/>
                <w:szCs w:val="15"/>
              </w:rPr>
              <w:t xml:space="preserve">Gara n. 122/2022 </w:t>
            </w:r>
            <w:proofErr w:type="spellStart"/>
            <w:r w:rsidRPr="008D7F53">
              <w:rPr>
                <w:rFonts w:ascii="Arial" w:eastAsia="Arial" w:hAnsi="Arial" w:cs="Arial"/>
                <w:color w:val="00000A"/>
                <w:sz w:val="15"/>
                <w:szCs w:val="15"/>
              </w:rPr>
              <w:t>SardegnaCAT</w:t>
            </w:r>
            <w:proofErr w:type="spellEnd"/>
            <w:r w:rsidRPr="008D7F53">
              <w:rPr>
                <w:rFonts w:ascii="Arial" w:eastAsia="Arial" w:hAnsi="Arial" w:cs="Arial"/>
                <w:color w:val="00000A"/>
                <w:sz w:val="15"/>
                <w:szCs w:val="15"/>
              </w:rPr>
              <w:t xml:space="preserve"> rfq_403544</w:t>
            </w:r>
          </w:p>
          <w:p w14:paraId="70339593" w14:textId="263E6A71" w:rsidR="00CC1AEB" w:rsidRPr="000C638D" w:rsidRDefault="00CC1AEB" w:rsidP="008D7F53">
            <w:pPr>
              <w:pStyle w:val="NormaleWeb"/>
              <w:spacing w:before="0" w:beforeAutospacing="0" w:after="0" w:afterAutospacing="0" w:line="240" w:lineRule="exact"/>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5784F231" w:rsidR="00CC1AEB" w:rsidRDefault="00040F51" w:rsidP="009138A2">
            <w:pPr>
              <w:pBdr>
                <w:top w:val="nil"/>
                <w:left w:val="nil"/>
                <w:bottom w:val="nil"/>
                <w:right w:val="nil"/>
                <w:between w:val="nil"/>
              </w:pBdr>
              <w:spacing w:line="240" w:lineRule="exact"/>
              <w:rPr>
                <w:rFonts w:ascii="Arial" w:eastAsia="Arial" w:hAnsi="Arial" w:cs="Arial"/>
                <w:sz w:val="14"/>
                <w:szCs w:val="14"/>
              </w:rPr>
            </w:pPr>
            <w:r>
              <w:rPr>
                <w:rFonts w:ascii="Arial" w:eastAsia="Arial" w:hAnsi="Arial" w:cs="Arial"/>
                <w:color w:val="000000"/>
                <w:sz w:val="14"/>
                <w:szCs w:val="14"/>
              </w:rPr>
              <w:t xml:space="preserve">CIG </w:t>
            </w:r>
          </w:p>
          <w:p w14:paraId="20B7B26F" w14:textId="77777777" w:rsidR="00CC1AEB" w:rsidRDefault="00040F51" w:rsidP="009138A2">
            <w:pPr>
              <w:pBdr>
                <w:top w:val="nil"/>
                <w:left w:val="nil"/>
                <w:bottom w:val="nil"/>
                <w:right w:val="nil"/>
                <w:between w:val="nil"/>
              </w:pBdr>
              <w:spacing w:line="240" w:lineRule="exact"/>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224C2B74" w:rsidR="00CC1AEB" w:rsidRDefault="00040F51" w:rsidP="009138A2">
            <w:pPr>
              <w:pBdr>
                <w:top w:val="nil"/>
                <w:left w:val="nil"/>
                <w:bottom w:val="nil"/>
                <w:right w:val="nil"/>
                <w:between w:val="nil"/>
              </w:pBdr>
              <w:spacing w:line="240" w:lineRule="exact"/>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6966B779" w14:textId="07D889F3" w:rsidR="008D7F53" w:rsidRDefault="008D7F53" w:rsidP="009138A2">
            <w:pPr>
              <w:spacing w:line="240" w:lineRule="exact"/>
              <w:rPr>
                <w:rFonts w:ascii="Arial" w:eastAsia="Arial" w:hAnsi="Arial" w:cs="Arial"/>
                <w:color w:val="00000A"/>
                <w:sz w:val="15"/>
                <w:szCs w:val="15"/>
              </w:rPr>
            </w:pPr>
            <w:r w:rsidRPr="008D7F53">
              <w:rPr>
                <w:rFonts w:ascii="Arial" w:eastAsia="Arial" w:hAnsi="Arial" w:cs="Arial"/>
                <w:color w:val="00000A"/>
                <w:sz w:val="15"/>
                <w:szCs w:val="15"/>
              </w:rPr>
              <w:t>CIG 9527950911 -</w:t>
            </w:r>
          </w:p>
          <w:p w14:paraId="024445A1" w14:textId="77777777" w:rsidR="00CC1AEB" w:rsidRDefault="009138A2" w:rsidP="009138A2">
            <w:pPr>
              <w:spacing w:line="240" w:lineRule="exact"/>
              <w:rPr>
                <w:rFonts w:ascii="Arial" w:eastAsia="Arial" w:hAnsi="Arial" w:cs="Arial"/>
                <w:color w:val="00000A"/>
                <w:sz w:val="15"/>
                <w:szCs w:val="15"/>
              </w:rPr>
            </w:pPr>
            <w:r w:rsidRPr="009138A2">
              <w:rPr>
                <w:rFonts w:ascii="Arial" w:eastAsia="Arial" w:hAnsi="Arial" w:cs="Arial"/>
                <w:color w:val="00000A"/>
                <w:sz w:val="15"/>
                <w:szCs w:val="15"/>
              </w:rPr>
              <w:t xml:space="preserve">CUP F11B21007070001  </w:t>
            </w:r>
          </w:p>
          <w:p w14:paraId="5F633DCA" w14:textId="77777777" w:rsidR="008D7F53" w:rsidRDefault="008D7F53" w:rsidP="009138A2">
            <w:pPr>
              <w:spacing w:line="240" w:lineRule="exact"/>
              <w:rPr>
                <w:rFonts w:ascii="Arial" w:eastAsia="Arial" w:hAnsi="Arial" w:cs="Arial"/>
                <w:color w:val="00000A"/>
                <w:sz w:val="15"/>
                <w:szCs w:val="15"/>
              </w:rPr>
            </w:pPr>
          </w:p>
          <w:p w14:paraId="3C6D441C" w14:textId="40DFA900" w:rsidR="008D7F53" w:rsidRPr="000C638D" w:rsidRDefault="008D7F53" w:rsidP="009138A2">
            <w:pPr>
              <w:spacing w:line="240" w:lineRule="exact"/>
              <w:rPr>
                <w:rFonts w:ascii="Arial" w:eastAsia="Arial" w:hAnsi="Arial" w:cs="Arial"/>
                <w:color w:val="00000A"/>
                <w:sz w:val="15"/>
                <w:szCs w:val="15"/>
              </w:rPr>
            </w:pP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rsidP="009138A2">
            <w:pPr>
              <w:pBdr>
                <w:top w:val="nil"/>
                <w:left w:val="nil"/>
                <w:bottom w:val="nil"/>
                <w:right w:val="nil"/>
                <w:between w:val="nil"/>
              </w:pBdr>
              <w:spacing w:line="240" w:lineRule="exact"/>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rsidP="009138A2">
            <w:pPr>
              <w:spacing w:line="240" w:lineRule="exact"/>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rsidSect="009138A2">
      <w:headerReference w:type="default" r:id="rId19"/>
      <w:footerReference w:type="default" r:id="rId20"/>
      <w:headerReference w:type="first" r:id="rId21"/>
      <w:pgSz w:w="11907" w:h="16839"/>
      <w:pgMar w:top="1133" w:right="1133" w:bottom="1133" w:left="1700" w:header="170" w:footer="28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3E62" w14:textId="77777777" w:rsidR="00EE4116" w:rsidRDefault="00EE4116">
      <w:r>
        <w:separator/>
      </w:r>
    </w:p>
  </w:endnote>
  <w:endnote w:type="continuationSeparator" w:id="0">
    <w:p w14:paraId="6294EC38" w14:textId="77777777" w:rsidR="00EE4116" w:rsidRDefault="00EE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379B" w14:textId="77777777" w:rsidR="00EE4116" w:rsidRDefault="00EE4116">
      <w:r>
        <w:separator/>
      </w:r>
    </w:p>
  </w:footnote>
  <w:footnote w:type="continuationSeparator" w:id="0">
    <w:p w14:paraId="596671D2" w14:textId="77777777" w:rsidR="00EE4116" w:rsidRDefault="00EE4116">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5" w:type="dxa"/>
        <w:left w:w="15" w:type="dxa"/>
        <w:bottom w:w="15" w:type="dxa"/>
        <w:right w:w="15" w:type="dxa"/>
      </w:tblCellMar>
      <w:tblLook w:val="04A0" w:firstRow="1" w:lastRow="0" w:firstColumn="1" w:lastColumn="0" w:noHBand="0" w:noVBand="1"/>
    </w:tblPr>
    <w:tblGrid>
      <w:gridCol w:w="146"/>
      <w:gridCol w:w="146"/>
      <w:gridCol w:w="146"/>
    </w:tblGrid>
    <w:tr w:rsidR="009A2A27" w:rsidRPr="009A2A27" w14:paraId="541B56FB" w14:textId="77777777" w:rsidTr="009A2A27">
      <w:tc>
        <w:tcPr>
          <w:tcW w:w="0" w:type="auto"/>
          <w:tcMar>
            <w:top w:w="0" w:type="dxa"/>
            <w:left w:w="70" w:type="dxa"/>
            <w:bottom w:w="0" w:type="dxa"/>
            <w:right w:w="70" w:type="dxa"/>
          </w:tcMar>
        </w:tcPr>
        <w:p w14:paraId="417F20AB" w14:textId="375DE3D2" w:rsidR="009A2A27" w:rsidRPr="009A2A27" w:rsidRDefault="009A2A27" w:rsidP="009A2A27">
          <w:pPr>
            <w:ind w:left="-2" w:right="360" w:hanging="2"/>
            <w:rPr>
              <w:sz w:val="24"/>
              <w:szCs w:val="24"/>
            </w:rPr>
          </w:pPr>
        </w:p>
      </w:tc>
      <w:tc>
        <w:tcPr>
          <w:tcW w:w="0" w:type="auto"/>
          <w:tcMar>
            <w:top w:w="0" w:type="dxa"/>
            <w:left w:w="70" w:type="dxa"/>
            <w:bottom w:w="0" w:type="dxa"/>
            <w:right w:w="70" w:type="dxa"/>
          </w:tcMar>
        </w:tcPr>
        <w:p w14:paraId="6D924D2C" w14:textId="77777777" w:rsidR="009A2A27" w:rsidRPr="009A2A27" w:rsidRDefault="009A2A27" w:rsidP="009A2A27">
          <w:pPr>
            <w:rPr>
              <w:sz w:val="24"/>
              <w:szCs w:val="24"/>
            </w:rPr>
          </w:pPr>
        </w:p>
      </w:tc>
      <w:tc>
        <w:tcPr>
          <w:tcW w:w="0" w:type="auto"/>
          <w:tcMar>
            <w:top w:w="0" w:type="dxa"/>
            <w:left w:w="70" w:type="dxa"/>
            <w:bottom w:w="0" w:type="dxa"/>
            <w:right w:w="70" w:type="dxa"/>
          </w:tcMar>
        </w:tcPr>
        <w:p w14:paraId="20A77AB6" w14:textId="77777777" w:rsidR="009A2A27" w:rsidRPr="009A2A27" w:rsidRDefault="009A2A27" w:rsidP="009A2A27">
          <w:pPr>
            <w:rPr>
              <w:sz w:val="24"/>
              <w:szCs w:val="24"/>
            </w:rPr>
          </w:pPr>
        </w:p>
      </w:tc>
    </w:tr>
  </w:tbl>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15536D1E" w14:textId="77777777" w:rsidR="009A2A27" w:rsidRPr="009A2A27" w:rsidRDefault="009A2A27" w:rsidP="009A2A27">
          <w:pPr>
            <w:ind w:left="425"/>
            <w:jc w:val="center"/>
            <w:rPr>
              <w:sz w:val="24"/>
              <w:szCs w:val="24"/>
            </w:rPr>
          </w:pPr>
          <w:r w:rsidRPr="009A2A27">
            <w:rPr>
              <w:rFonts w:ascii="Tahoma" w:hAnsi="Tahoma" w:cs="Tahoma"/>
              <w:color w:val="000000"/>
              <w:sz w:val="12"/>
              <w:szCs w:val="12"/>
            </w:rPr>
            <w:t>Affidamento SIA</w:t>
          </w:r>
        </w:p>
        <w:p w14:paraId="3C8DE78A" w14:textId="77777777" w:rsidR="009A2A27" w:rsidRPr="009A2A27" w:rsidRDefault="009A2A27" w:rsidP="009A2A27">
          <w:pPr>
            <w:ind w:left="425"/>
            <w:jc w:val="center"/>
            <w:rPr>
              <w:sz w:val="24"/>
              <w:szCs w:val="24"/>
            </w:rPr>
          </w:pPr>
          <w:r w:rsidRPr="009A2A27">
            <w:rPr>
              <w:rFonts w:ascii="Tahoma" w:hAnsi="Tahoma" w:cs="Tahoma"/>
              <w:color w:val="000000"/>
              <w:sz w:val="12"/>
              <w:szCs w:val="12"/>
            </w:rPr>
            <w:t>Obiettivo 1 - Realizzazione del collegamento ferroviario tra la linea Sassari - Alghero centro e l’aeroporto di Alghero compreso di impianto di produzione di idrogeno, deposito e opere complementari.</w:t>
          </w:r>
        </w:p>
        <w:p w14:paraId="1C66DB41" w14:textId="6EB38A22" w:rsidR="00CC1AEB" w:rsidRPr="009A2A27"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6"/>
              <w:szCs w:val="16"/>
            </w:rPr>
          </w:pPr>
          <w:r w:rsidRPr="009A2A27">
            <w:rPr>
              <w:rFonts w:ascii="Tahoma" w:eastAsia="Tahoma" w:hAnsi="Tahoma" w:cs="Tahoma"/>
              <w:b/>
              <w:color w:val="00000A"/>
              <w:sz w:val="16"/>
              <w:szCs w:val="16"/>
            </w:rPr>
            <w:t>D.G.U.E.</w:t>
          </w:r>
        </w:p>
        <w:p w14:paraId="30F5FD8B" w14:textId="08882F9D" w:rsidR="00CC1AEB" w:rsidRDefault="00040F51" w:rsidP="00C44F95">
          <w:pPr>
            <w:pBdr>
              <w:top w:val="nil"/>
              <w:left w:val="nil"/>
              <w:bottom w:val="nil"/>
              <w:right w:val="nil"/>
              <w:between w:val="nil"/>
            </w:pBdr>
            <w:tabs>
              <w:tab w:val="center" w:pos="4819"/>
              <w:tab w:val="right" w:pos="9638"/>
            </w:tabs>
            <w:ind w:left="675" w:firstLine="281"/>
            <w:jc w:val="center"/>
            <w:rPr>
              <w:rFonts w:ascii="Tahoma" w:eastAsia="Tahoma" w:hAnsi="Tahoma" w:cs="Tahoma"/>
              <w:color w:val="00000A"/>
              <w:sz w:val="14"/>
              <w:szCs w:val="14"/>
            </w:rPr>
          </w:pPr>
          <w:r w:rsidRPr="009A2A27">
            <w:rPr>
              <w:rFonts w:ascii="Tahoma" w:eastAsia="Tahoma" w:hAnsi="Tahoma" w:cs="Tahoma"/>
              <w:b/>
              <w:color w:val="00000A"/>
              <w:sz w:val="16"/>
              <w:szCs w:val="16"/>
            </w:rPr>
            <w:t xml:space="preserve">Allegato </w:t>
          </w:r>
          <w:r w:rsidR="00265C91">
            <w:rPr>
              <w:rFonts w:ascii="Tahoma" w:eastAsia="Tahoma" w:hAnsi="Tahoma" w:cs="Tahoma"/>
              <w:b/>
              <w:color w:val="00000A"/>
              <w:sz w:val="16"/>
              <w:szCs w:val="16"/>
            </w:rPr>
            <w:t>C</w:t>
          </w:r>
          <w:r w:rsidRPr="009A2A27">
            <w:rPr>
              <w:rFonts w:ascii="Tahoma" w:eastAsia="Tahoma" w:hAnsi="Tahoma" w:cs="Tahoma"/>
              <w:b/>
              <w:color w:val="00000A"/>
              <w:sz w:val="16"/>
              <w:szCs w:val="16"/>
            </w:rPr>
            <w:t xml:space="preserve"> al</w:t>
          </w:r>
          <w:r w:rsidR="009A2A27" w:rsidRPr="009A2A27">
            <w:rPr>
              <w:rFonts w:ascii="Tahoma" w:eastAsia="Tahoma" w:hAnsi="Tahoma" w:cs="Tahoma"/>
              <w:b/>
              <w:color w:val="00000A"/>
              <w:sz w:val="16"/>
              <w:szCs w:val="16"/>
            </w:rPr>
            <w:t xml:space="preserve"> </w:t>
          </w:r>
          <w:r w:rsidR="009A2A27" w:rsidRPr="009A2A27">
            <w:rPr>
              <w:rFonts w:ascii="Tahoma" w:hAnsi="Tahoma" w:cs="Tahoma"/>
              <w:b/>
              <w:bCs/>
              <w:color w:val="000000"/>
              <w:sz w:val="16"/>
              <w:szCs w:val="16"/>
            </w:rPr>
            <w:t>Disciplinare di gara</w:t>
          </w:r>
          <w:r w:rsidR="009A2A27" w:rsidRPr="009A2A27">
            <w:rPr>
              <w:rFonts w:ascii="Tahoma" w:eastAsia="Tahoma" w:hAnsi="Tahoma" w:cs="Tahoma"/>
              <w:b/>
              <w:color w:val="00000A"/>
              <w:sz w:val="16"/>
              <w:szCs w:val="16"/>
            </w:rPr>
            <w:t xml:space="preserve"> </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199"/>
            <w:gridCol w:w="1985"/>
            <w:gridCol w:w="2525"/>
          </w:tblGrid>
          <w:tr w:rsidR="009A2A27" w:rsidRPr="009A2A27" w14:paraId="7B71AB55" w14:textId="77777777" w:rsidTr="009A2A27">
            <w:trPr>
              <w:trHeight w:val="1767"/>
            </w:trPr>
            <w:tc>
              <w:tcPr>
                <w:tcW w:w="3199" w:type="dxa"/>
                <w:tcMar>
                  <w:top w:w="100" w:type="dxa"/>
                  <w:left w:w="100" w:type="dxa"/>
                  <w:bottom w:w="100" w:type="dxa"/>
                  <w:right w:w="100" w:type="dxa"/>
                </w:tcMar>
                <w:vAlign w:val="center"/>
                <w:hideMark/>
              </w:tcPr>
              <w:p w14:paraId="646AD997" w14:textId="40169E42" w:rsidR="009A2A27" w:rsidRPr="009A2A27" w:rsidRDefault="009A2A27" w:rsidP="009A2A27">
                <w:pPr>
                  <w:spacing w:before="60" w:after="60"/>
                  <w:jc w:val="center"/>
                  <w:rPr>
                    <w:sz w:val="24"/>
                    <w:szCs w:val="24"/>
                  </w:rPr>
                </w:pPr>
                <w:r w:rsidRPr="009A2A27">
                  <w:rPr>
                    <w:rFonts w:ascii="Verdana" w:hAnsi="Verdana"/>
                    <w:noProof/>
                    <w:color w:val="000000"/>
                    <w:bdr w:val="none" w:sz="0" w:space="0" w:color="auto" w:frame="1"/>
                  </w:rPr>
                  <w:drawing>
                    <wp:inline distT="0" distB="0" distL="0" distR="0" wp14:anchorId="38F9E57A" wp14:editId="33F45967">
                      <wp:extent cx="1905000" cy="10763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076325"/>
                              </a:xfrm>
                              <a:prstGeom prst="rect">
                                <a:avLst/>
                              </a:prstGeom>
                              <a:noFill/>
                              <a:ln>
                                <a:noFill/>
                              </a:ln>
                            </pic:spPr>
                          </pic:pic>
                        </a:graphicData>
                      </a:graphic>
                    </wp:inline>
                  </w:drawing>
                </w:r>
              </w:p>
            </w:tc>
            <w:tc>
              <w:tcPr>
                <w:tcW w:w="1985" w:type="dxa"/>
                <w:tcMar>
                  <w:top w:w="100" w:type="dxa"/>
                  <w:left w:w="100" w:type="dxa"/>
                  <w:bottom w:w="100" w:type="dxa"/>
                  <w:right w:w="100" w:type="dxa"/>
                </w:tcMar>
                <w:vAlign w:val="center"/>
                <w:hideMark/>
              </w:tcPr>
              <w:p w14:paraId="722A7395" w14:textId="21FEB34B" w:rsidR="009A2A27" w:rsidRPr="009A2A27" w:rsidRDefault="009A2A27" w:rsidP="009A2A27">
                <w:pPr>
                  <w:spacing w:before="60" w:after="60"/>
                  <w:jc w:val="center"/>
                  <w:rPr>
                    <w:sz w:val="24"/>
                    <w:szCs w:val="24"/>
                  </w:rPr>
                </w:pPr>
                <w:r w:rsidRPr="009A2A27">
                  <w:rPr>
                    <w:rFonts w:ascii="Poppins" w:hAnsi="Poppins" w:cs="Poppins"/>
                    <w:noProof/>
                    <w:color w:val="000000"/>
                    <w:bdr w:val="none" w:sz="0" w:space="0" w:color="auto" w:frame="1"/>
                  </w:rPr>
                  <w:drawing>
                    <wp:inline distT="0" distB="0" distL="0" distR="0" wp14:anchorId="65E54D50" wp14:editId="7B205235">
                      <wp:extent cx="1133475" cy="6667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666750"/>
                              </a:xfrm>
                              <a:prstGeom prst="rect">
                                <a:avLst/>
                              </a:prstGeom>
                              <a:noFill/>
                              <a:ln>
                                <a:noFill/>
                              </a:ln>
                            </pic:spPr>
                          </pic:pic>
                        </a:graphicData>
                      </a:graphic>
                    </wp:inline>
                  </w:drawing>
                </w:r>
              </w:p>
            </w:tc>
            <w:tc>
              <w:tcPr>
                <w:tcW w:w="2525" w:type="dxa"/>
                <w:tcMar>
                  <w:top w:w="100" w:type="dxa"/>
                  <w:left w:w="100" w:type="dxa"/>
                  <w:bottom w:w="100" w:type="dxa"/>
                  <w:right w:w="100" w:type="dxa"/>
                </w:tcMar>
                <w:vAlign w:val="center"/>
                <w:hideMark/>
              </w:tcPr>
              <w:p w14:paraId="61A11363" w14:textId="31D89D20" w:rsidR="009A2A27" w:rsidRPr="009A2A27" w:rsidRDefault="009A2A27" w:rsidP="009A2A27">
                <w:pPr>
                  <w:rPr>
                    <w:sz w:val="24"/>
                    <w:szCs w:val="24"/>
                  </w:rPr>
                </w:pPr>
                <w:r w:rsidRPr="009A2A27">
                  <w:rPr>
                    <w:sz w:val="24"/>
                    <w:szCs w:val="24"/>
                  </w:rPr>
                  <w:br/>
                </w:r>
                <w:r w:rsidRPr="009A2A27">
                  <w:rPr>
                    <w:sz w:val="24"/>
                    <w:szCs w:val="24"/>
                  </w:rPr>
                  <w:br/>
                </w:r>
                <w:r w:rsidRPr="009A2A27">
                  <w:rPr>
                    <w:noProof/>
                    <w:sz w:val="24"/>
                    <w:szCs w:val="24"/>
                    <w:bdr w:val="none" w:sz="0" w:space="0" w:color="auto" w:frame="1"/>
                  </w:rPr>
                  <w:drawing>
                    <wp:inline distT="0" distB="0" distL="0" distR="0" wp14:anchorId="28D3E7A8" wp14:editId="41B0AC8E">
                      <wp:extent cx="1476375" cy="45720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6C2B9706" w:rsidR="00CC1AEB" w:rsidRDefault="00CC1AEB">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p>
      </w:tc>
    </w:tr>
  </w:tbl>
  <w:p w14:paraId="6B28FD4C" w14:textId="2B1BCB2A" w:rsidR="00CC1AEB" w:rsidRDefault="00CC1AEB" w:rsidP="009138A2">
    <w:pPr>
      <w:tabs>
        <w:tab w:val="left" w:pos="303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C638D"/>
    <w:rsid w:val="000D0153"/>
    <w:rsid w:val="001B2E54"/>
    <w:rsid w:val="002524D6"/>
    <w:rsid w:val="00265C91"/>
    <w:rsid w:val="0027460E"/>
    <w:rsid w:val="002756A7"/>
    <w:rsid w:val="002C4D3F"/>
    <w:rsid w:val="002D72FB"/>
    <w:rsid w:val="00301826"/>
    <w:rsid w:val="00364224"/>
    <w:rsid w:val="00616F75"/>
    <w:rsid w:val="006A4153"/>
    <w:rsid w:val="00704D06"/>
    <w:rsid w:val="007601E8"/>
    <w:rsid w:val="00863A33"/>
    <w:rsid w:val="00875A30"/>
    <w:rsid w:val="00895AEA"/>
    <w:rsid w:val="008D7F53"/>
    <w:rsid w:val="0090533D"/>
    <w:rsid w:val="009138A2"/>
    <w:rsid w:val="009A2A27"/>
    <w:rsid w:val="00A03D46"/>
    <w:rsid w:val="00A65CFB"/>
    <w:rsid w:val="00A93024"/>
    <w:rsid w:val="00AD2D65"/>
    <w:rsid w:val="00AE2D3A"/>
    <w:rsid w:val="00B17502"/>
    <w:rsid w:val="00B92270"/>
    <w:rsid w:val="00C32062"/>
    <w:rsid w:val="00C44F95"/>
    <w:rsid w:val="00CC1AEB"/>
    <w:rsid w:val="00DF3817"/>
    <w:rsid w:val="00E36DAA"/>
    <w:rsid w:val="00E36EF0"/>
    <w:rsid w:val="00EE4116"/>
    <w:rsid w:val="00FE7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2345">
      <w:bodyDiv w:val="1"/>
      <w:marLeft w:val="0"/>
      <w:marRight w:val="0"/>
      <w:marTop w:val="0"/>
      <w:marBottom w:val="0"/>
      <w:divBdr>
        <w:top w:val="none" w:sz="0" w:space="0" w:color="auto"/>
        <w:left w:val="none" w:sz="0" w:space="0" w:color="auto"/>
        <w:bottom w:val="none" w:sz="0" w:space="0" w:color="auto"/>
        <w:right w:val="none" w:sz="0" w:space="0" w:color="auto"/>
      </w:divBdr>
    </w:div>
    <w:div w:id="154761710">
      <w:bodyDiv w:val="1"/>
      <w:marLeft w:val="0"/>
      <w:marRight w:val="0"/>
      <w:marTop w:val="0"/>
      <w:marBottom w:val="0"/>
      <w:divBdr>
        <w:top w:val="none" w:sz="0" w:space="0" w:color="auto"/>
        <w:left w:val="none" w:sz="0" w:space="0" w:color="auto"/>
        <w:bottom w:val="none" w:sz="0" w:space="0" w:color="auto"/>
        <w:right w:val="none" w:sz="0" w:space="0" w:color="auto"/>
      </w:divBdr>
      <w:divsChild>
        <w:div w:id="670109961">
          <w:marLeft w:val="-100"/>
          <w:marRight w:val="0"/>
          <w:marTop w:val="0"/>
          <w:marBottom w:val="0"/>
          <w:divBdr>
            <w:top w:val="none" w:sz="0" w:space="0" w:color="auto"/>
            <w:left w:val="none" w:sz="0" w:space="0" w:color="auto"/>
            <w:bottom w:val="none" w:sz="0" w:space="0" w:color="auto"/>
            <w:right w:val="none" w:sz="0" w:space="0" w:color="auto"/>
          </w:divBdr>
        </w:div>
      </w:divsChild>
    </w:div>
    <w:div w:id="195509866">
      <w:bodyDiv w:val="1"/>
      <w:marLeft w:val="0"/>
      <w:marRight w:val="0"/>
      <w:marTop w:val="0"/>
      <w:marBottom w:val="0"/>
      <w:divBdr>
        <w:top w:val="none" w:sz="0" w:space="0" w:color="auto"/>
        <w:left w:val="none" w:sz="0" w:space="0" w:color="auto"/>
        <w:bottom w:val="none" w:sz="0" w:space="0" w:color="auto"/>
        <w:right w:val="none" w:sz="0" w:space="0" w:color="auto"/>
      </w:divBdr>
    </w:div>
    <w:div w:id="203758103">
      <w:bodyDiv w:val="1"/>
      <w:marLeft w:val="0"/>
      <w:marRight w:val="0"/>
      <w:marTop w:val="0"/>
      <w:marBottom w:val="0"/>
      <w:divBdr>
        <w:top w:val="none" w:sz="0" w:space="0" w:color="auto"/>
        <w:left w:val="none" w:sz="0" w:space="0" w:color="auto"/>
        <w:bottom w:val="none" w:sz="0" w:space="0" w:color="auto"/>
        <w:right w:val="none" w:sz="0" w:space="0" w:color="auto"/>
      </w:divBdr>
    </w:div>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432408731">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854731839">
      <w:bodyDiv w:val="1"/>
      <w:marLeft w:val="0"/>
      <w:marRight w:val="0"/>
      <w:marTop w:val="0"/>
      <w:marBottom w:val="0"/>
      <w:divBdr>
        <w:top w:val="none" w:sz="0" w:space="0" w:color="auto"/>
        <w:left w:val="none" w:sz="0" w:space="0" w:color="auto"/>
        <w:bottom w:val="none" w:sz="0" w:space="0" w:color="auto"/>
        <w:right w:val="none" w:sz="0" w:space="0" w:color="auto"/>
      </w:divBdr>
    </w:div>
    <w:div w:id="906846395">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155603715">
      <w:bodyDiv w:val="1"/>
      <w:marLeft w:val="0"/>
      <w:marRight w:val="0"/>
      <w:marTop w:val="0"/>
      <w:marBottom w:val="0"/>
      <w:divBdr>
        <w:top w:val="none" w:sz="0" w:space="0" w:color="auto"/>
        <w:left w:val="none" w:sz="0" w:space="0" w:color="auto"/>
        <w:bottom w:val="none" w:sz="0" w:space="0" w:color="auto"/>
        <w:right w:val="none" w:sz="0" w:space="0" w:color="auto"/>
      </w:divBdr>
    </w:div>
    <w:div w:id="1219559829">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504005915">
      <w:bodyDiv w:val="1"/>
      <w:marLeft w:val="0"/>
      <w:marRight w:val="0"/>
      <w:marTop w:val="0"/>
      <w:marBottom w:val="0"/>
      <w:divBdr>
        <w:top w:val="none" w:sz="0" w:space="0" w:color="auto"/>
        <w:left w:val="none" w:sz="0" w:space="0" w:color="auto"/>
        <w:bottom w:val="none" w:sz="0" w:space="0" w:color="auto"/>
        <w:right w:val="none" w:sz="0" w:space="0" w:color="auto"/>
      </w:divBdr>
    </w:div>
    <w:div w:id="1542937381">
      <w:bodyDiv w:val="1"/>
      <w:marLeft w:val="0"/>
      <w:marRight w:val="0"/>
      <w:marTop w:val="0"/>
      <w:marBottom w:val="0"/>
      <w:divBdr>
        <w:top w:val="none" w:sz="0" w:space="0" w:color="auto"/>
        <w:left w:val="none" w:sz="0" w:space="0" w:color="auto"/>
        <w:bottom w:val="none" w:sz="0" w:space="0" w:color="auto"/>
        <w:right w:val="none" w:sz="0" w:space="0" w:color="auto"/>
      </w:divBdr>
    </w:div>
    <w:div w:id="1557010297">
      <w:bodyDiv w:val="1"/>
      <w:marLeft w:val="0"/>
      <w:marRight w:val="0"/>
      <w:marTop w:val="0"/>
      <w:marBottom w:val="0"/>
      <w:divBdr>
        <w:top w:val="none" w:sz="0" w:space="0" w:color="auto"/>
        <w:left w:val="none" w:sz="0" w:space="0" w:color="auto"/>
        <w:bottom w:val="none" w:sz="0" w:space="0" w:color="auto"/>
        <w:right w:val="none" w:sz="0" w:space="0" w:color="auto"/>
      </w:divBdr>
      <w:divsChild>
        <w:div w:id="723870669">
          <w:marLeft w:val="-70"/>
          <w:marRight w:val="0"/>
          <w:marTop w:val="0"/>
          <w:marBottom w:val="0"/>
          <w:divBdr>
            <w:top w:val="none" w:sz="0" w:space="0" w:color="auto"/>
            <w:left w:val="none" w:sz="0" w:space="0" w:color="auto"/>
            <w:bottom w:val="none" w:sz="0" w:space="0" w:color="auto"/>
            <w:right w:val="none" w:sz="0" w:space="0" w:color="auto"/>
          </w:divBdr>
        </w:div>
      </w:divsChild>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197159346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 w:id="201372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6454</Words>
  <Characters>36794</Characters>
  <Application>Microsoft Office Word</Application>
  <DocSecurity>0</DocSecurity>
  <Lines>306</Lines>
  <Paragraphs>86</Paragraphs>
  <ScaleCrop>false</ScaleCrop>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27</cp:revision>
  <cp:lastPrinted>2022-10-11T09:45:00Z</cp:lastPrinted>
  <dcterms:created xsi:type="dcterms:W3CDTF">2021-03-04T10:33:00Z</dcterms:created>
  <dcterms:modified xsi:type="dcterms:W3CDTF">2022-12-12T06:40:00Z</dcterms:modified>
</cp:coreProperties>
</file>